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0F3" w:rsidRDefault="00784CBB" w:rsidP="00A010F3">
      <w:pPr>
        <w:jc w:val="both"/>
        <w:rPr>
          <w:rFonts w:ascii="Century" w:hAnsi="Century" w:cs="Arial"/>
          <w:sz w:val="24"/>
          <w:szCs w:val="24"/>
        </w:rPr>
      </w:pPr>
      <w:r>
        <w:rPr>
          <w:rFonts w:ascii="Century" w:hAnsi="Century" w:cs="Arial"/>
          <w:sz w:val="24"/>
          <w:szCs w:val="24"/>
        </w:rPr>
        <w:t>Cari Colleghi,</w:t>
      </w:r>
    </w:p>
    <w:p w:rsidR="00784CBB" w:rsidRDefault="00784CBB" w:rsidP="00A010F3">
      <w:pPr>
        <w:jc w:val="both"/>
        <w:rPr>
          <w:rFonts w:ascii="Century" w:hAnsi="Century" w:cs="Arial"/>
          <w:sz w:val="24"/>
          <w:szCs w:val="24"/>
        </w:rPr>
      </w:pPr>
    </w:p>
    <w:p w:rsidR="00784CBB" w:rsidRDefault="00784CBB" w:rsidP="00A010F3">
      <w:pPr>
        <w:jc w:val="both"/>
        <w:rPr>
          <w:rFonts w:ascii="Century" w:hAnsi="Century" w:cs="Arial"/>
          <w:sz w:val="24"/>
          <w:szCs w:val="24"/>
        </w:rPr>
      </w:pPr>
      <w:proofErr w:type="gramStart"/>
      <w:r>
        <w:rPr>
          <w:rFonts w:ascii="Century" w:hAnsi="Century" w:cs="Arial"/>
          <w:sz w:val="24"/>
          <w:szCs w:val="24"/>
        </w:rPr>
        <w:t>col</w:t>
      </w:r>
      <w:proofErr w:type="gramEnd"/>
      <w:r>
        <w:rPr>
          <w:rFonts w:ascii="Century" w:hAnsi="Century" w:cs="Arial"/>
          <w:sz w:val="24"/>
          <w:szCs w:val="24"/>
        </w:rPr>
        <w:t xml:space="preserve"> Decreto Legislativo 31.01.2015 n. 6, recante “Riordino della disciplina della difesa d’ufficio, ai sensi dell’art. 16 della Legge 31 dicembre 2012, n. 247” (G.U. n. 29 del 05.02.2015) sono state introdotte rilevanti modifiche per ciò che concerne l’iscrizione e la permanenza nell’elenco dei difensori d’ufficio.</w:t>
      </w:r>
    </w:p>
    <w:p w:rsidR="00784CBB" w:rsidRDefault="00784CBB" w:rsidP="00A010F3">
      <w:pPr>
        <w:jc w:val="both"/>
        <w:rPr>
          <w:rFonts w:ascii="Century" w:hAnsi="Century" w:cs="Arial"/>
          <w:sz w:val="24"/>
          <w:szCs w:val="24"/>
        </w:rPr>
      </w:pPr>
    </w:p>
    <w:p w:rsidR="00784CBB" w:rsidRDefault="00784CBB" w:rsidP="00A010F3">
      <w:pPr>
        <w:jc w:val="both"/>
        <w:rPr>
          <w:rFonts w:ascii="Century" w:hAnsi="Century" w:cs="Arial"/>
          <w:sz w:val="24"/>
          <w:szCs w:val="24"/>
        </w:rPr>
      </w:pPr>
      <w:r>
        <w:rPr>
          <w:rFonts w:ascii="Century" w:hAnsi="Century" w:cs="Arial"/>
          <w:sz w:val="24"/>
          <w:szCs w:val="24"/>
        </w:rPr>
        <w:t>Il CNF</w:t>
      </w:r>
      <w:r w:rsidR="00410E87">
        <w:rPr>
          <w:rFonts w:ascii="Century" w:hAnsi="Century" w:cs="Arial"/>
          <w:sz w:val="24"/>
          <w:szCs w:val="24"/>
        </w:rPr>
        <w:t xml:space="preserve"> pertanto,</w:t>
      </w:r>
      <w:r>
        <w:rPr>
          <w:rFonts w:ascii="Century" w:hAnsi="Century" w:cs="Arial"/>
          <w:sz w:val="24"/>
          <w:szCs w:val="24"/>
        </w:rPr>
        <w:t xml:space="preserve"> nella seduta del 22 maggio 2015</w:t>
      </w:r>
      <w:r w:rsidR="00410E87">
        <w:rPr>
          <w:rFonts w:ascii="Century" w:hAnsi="Century" w:cs="Arial"/>
          <w:sz w:val="24"/>
          <w:szCs w:val="24"/>
        </w:rPr>
        <w:t>,</w:t>
      </w:r>
      <w:r>
        <w:rPr>
          <w:rFonts w:ascii="Century" w:hAnsi="Century" w:cs="Arial"/>
          <w:sz w:val="24"/>
          <w:szCs w:val="24"/>
        </w:rPr>
        <w:t xml:space="preserve"> ha adottato il nuovo Regolamento</w:t>
      </w:r>
      <w:r w:rsidR="00410E87">
        <w:rPr>
          <w:rFonts w:ascii="Century" w:hAnsi="Century" w:cs="Arial"/>
          <w:sz w:val="24"/>
          <w:szCs w:val="24"/>
        </w:rPr>
        <w:t xml:space="preserve"> per la tenuta e l’aggiornamento dell’elenco unico nazionale degli avvocati iscritti negli albi disponibili</w:t>
      </w:r>
      <w:r w:rsidR="0032226C">
        <w:rPr>
          <w:rFonts w:ascii="Century" w:hAnsi="Century" w:cs="Arial"/>
          <w:sz w:val="24"/>
          <w:szCs w:val="24"/>
        </w:rPr>
        <w:t xml:space="preserve"> ad assumere le difese d’ufficio - In allegato -</w:t>
      </w:r>
    </w:p>
    <w:p w:rsidR="0032226C" w:rsidRDefault="0032226C" w:rsidP="00A010F3">
      <w:pPr>
        <w:jc w:val="both"/>
        <w:rPr>
          <w:rFonts w:ascii="Century" w:hAnsi="Century" w:cs="Arial"/>
          <w:sz w:val="24"/>
          <w:szCs w:val="24"/>
        </w:rPr>
      </w:pPr>
    </w:p>
    <w:p w:rsidR="0032226C" w:rsidRDefault="0032226C" w:rsidP="00A010F3">
      <w:pPr>
        <w:jc w:val="both"/>
        <w:rPr>
          <w:rFonts w:ascii="Century" w:hAnsi="Century" w:cs="Arial"/>
          <w:sz w:val="24"/>
          <w:szCs w:val="24"/>
        </w:rPr>
      </w:pPr>
      <w:r>
        <w:rPr>
          <w:rFonts w:ascii="Century" w:hAnsi="Century" w:cs="Arial"/>
          <w:sz w:val="24"/>
          <w:szCs w:val="24"/>
        </w:rPr>
        <w:t>Ai fini dell’iscrizione, la domanda di inserimento nell’elenco nazionale, tenuto dal Consiglio Nazionale Forense, va presentata al Consiglio dell’Ordine di appartenenza, che valuterà la sussistenza di almeno uno dei seguenti requisiti:</w:t>
      </w:r>
    </w:p>
    <w:p w:rsidR="0032226C" w:rsidRDefault="0032226C" w:rsidP="0032226C">
      <w:pPr>
        <w:pStyle w:val="Paragrafoelenco"/>
        <w:numPr>
          <w:ilvl w:val="0"/>
          <w:numId w:val="3"/>
        </w:numPr>
        <w:jc w:val="both"/>
        <w:rPr>
          <w:rFonts w:ascii="Century" w:hAnsi="Century" w:cs="Arial"/>
          <w:sz w:val="24"/>
          <w:szCs w:val="24"/>
        </w:rPr>
      </w:pPr>
      <w:r>
        <w:rPr>
          <w:rFonts w:ascii="Century" w:hAnsi="Century" w:cs="Arial"/>
          <w:sz w:val="24"/>
          <w:szCs w:val="24"/>
        </w:rPr>
        <w:t>Partecipazione ad un corso di formazione e aggiornamento professionale in materia penale della durata complessiva di almeno 90 ore;</w:t>
      </w:r>
    </w:p>
    <w:p w:rsidR="0032226C" w:rsidRDefault="0032226C" w:rsidP="0032226C">
      <w:pPr>
        <w:pStyle w:val="Paragrafoelenco"/>
        <w:numPr>
          <w:ilvl w:val="0"/>
          <w:numId w:val="3"/>
        </w:numPr>
        <w:jc w:val="both"/>
        <w:rPr>
          <w:rFonts w:ascii="Century" w:hAnsi="Century" w:cs="Arial"/>
          <w:sz w:val="24"/>
          <w:szCs w:val="24"/>
        </w:rPr>
      </w:pPr>
      <w:r>
        <w:rPr>
          <w:rFonts w:ascii="Century" w:hAnsi="Century" w:cs="Arial"/>
          <w:sz w:val="24"/>
          <w:szCs w:val="24"/>
        </w:rPr>
        <w:t xml:space="preserve">Iscrizione all’albo degli Avvocati da almeno 5 anni continuativi ed esperienza nella materia penale </w:t>
      </w:r>
      <w:proofErr w:type="spellStart"/>
      <w:r>
        <w:rPr>
          <w:rFonts w:ascii="Century" w:hAnsi="Century" w:cs="Arial"/>
          <w:sz w:val="24"/>
          <w:szCs w:val="24"/>
        </w:rPr>
        <w:t>documentalmente</w:t>
      </w:r>
      <w:proofErr w:type="spellEnd"/>
      <w:r>
        <w:rPr>
          <w:rFonts w:ascii="Century" w:hAnsi="Century" w:cs="Arial"/>
          <w:sz w:val="24"/>
          <w:szCs w:val="24"/>
        </w:rPr>
        <w:t xml:space="preserve"> comprovata;</w:t>
      </w:r>
    </w:p>
    <w:p w:rsidR="00892710" w:rsidRDefault="0032226C" w:rsidP="00892710">
      <w:pPr>
        <w:pStyle w:val="Paragrafoelenco"/>
        <w:numPr>
          <w:ilvl w:val="0"/>
          <w:numId w:val="3"/>
        </w:numPr>
        <w:jc w:val="both"/>
        <w:rPr>
          <w:rFonts w:ascii="Century" w:hAnsi="Century" w:cs="Arial"/>
          <w:sz w:val="24"/>
          <w:szCs w:val="24"/>
        </w:rPr>
      </w:pPr>
      <w:r>
        <w:rPr>
          <w:rFonts w:ascii="Century" w:hAnsi="Century" w:cs="Arial"/>
          <w:sz w:val="24"/>
          <w:szCs w:val="24"/>
        </w:rPr>
        <w:t>Conseguimento del titolo di specialista in diritto penale, secondo quanto previsto dall’art. 9 della legge 31 dicembre 2012 n. 247</w:t>
      </w:r>
      <w:r w:rsidR="00892710">
        <w:rPr>
          <w:rFonts w:ascii="Century" w:hAnsi="Century" w:cs="Arial"/>
          <w:sz w:val="24"/>
          <w:szCs w:val="24"/>
        </w:rPr>
        <w:t>.</w:t>
      </w:r>
    </w:p>
    <w:p w:rsidR="00892710" w:rsidRDefault="00892710" w:rsidP="00892710">
      <w:pPr>
        <w:jc w:val="both"/>
        <w:rPr>
          <w:rFonts w:ascii="Century" w:hAnsi="Century" w:cs="Arial"/>
          <w:sz w:val="24"/>
          <w:szCs w:val="24"/>
        </w:rPr>
      </w:pPr>
      <w:r>
        <w:rPr>
          <w:rFonts w:ascii="Century" w:hAnsi="Century" w:cs="Arial"/>
          <w:sz w:val="24"/>
          <w:szCs w:val="24"/>
        </w:rPr>
        <w:t>Si precisa che la documentazione idonea a comprovare l’esperienza in materia penale avrà ad oggetto la partecipazione ad almeno 10 udienze penali, camerali o dibattimentali anche quale sostituto processuale, nell’anno solare precedente la richiesta e tra queste non più di due udienze quale sostituto ex art. 97 comma 4 c.p.p., non più di tre innanzi al Giudice di pace, con esclusione di quelle di mero rinvio.</w:t>
      </w:r>
    </w:p>
    <w:p w:rsidR="00892710" w:rsidRDefault="00892710" w:rsidP="00892710">
      <w:pPr>
        <w:jc w:val="both"/>
        <w:rPr>
          <w:rFonts w:ascii="Century" w:hAnsi="Century" w:cs="Arial"/>
          <w:sz w:val="24"/>
          <w:szCs w:val="24"/>
        </w:rPr>
      </w:pPr>
    </w:p>
    <w:p w:rsidR="00892710" w:rsidRDefault="00892710" w:rsidP="00892710">
      <w:pPr>
        <w:jc w:val="both"/>
        <w:rPr>
          <w:rFonts w:ascii="Century" w:hAnsi="Century" w:cs="Arial"/>
          <w:sz w:val="24"/>
          <w:szCs w:val="24"/>
        </w:rPr>
      </w:pPr>
      <w:r>
        <w:rPr>
          <w:rFonts w:ascii="Century" w:hAnsi="Century" w:cs="Arial"/>
          <w:sz w:val="24"/>
          <w:szCs w:val="24"/>
        </w:rPr>
        <w:t>Ai fini della permanenza nell’elenco nazionale dei difensori d’ufficio, sono condizioni necessarie:</w:t>
      </w:r>
    </w:p>
    <w:p w:rsidR="008B6D43" w:rsidRDefault="00892710" w:rsidP="00892710">
      <w:pPr>
        <w:pStyle w:val="Paragrafoelenco"/>
        <w:numPr>
          <w:ilvl w:val="0"/>
          <w:numId w:val="3"/>
        </w:numPr>
        <w:jc w:val="both"/>
        <w:rPr>
          <w:rFonts w:ascii="Century" w:hAnsi="Century" w:cs="Arial"/>
          <w:sz w:val="24"/>
          <w:szCs w:val="24"/>
        </w:rPr>
      </w:pPr>
      <w:proofErr w:type="gramStart"/>
      <w:r>
        <w:rPr>
          <w:rFonts w:ascii="Century" w:hAnsi="Century" w:cs="Arial"/>
          <w:sz w:val="24"/>
          <w:szCs w:val="24"/>
        </w:rPr>
        <w:t>non</w:t>
      </w:r>
      <w:proofErr w:type="gramEnd"/>
      <w:r>
        <w:rPr>
          <w:rFonts w:ascii="Century" w:hAnsi="Century" w:cs="Arial"/>
          <w:sz w:val="24"/>
          <w:szCs w:val="24"/>
        </w:rPr>
        <w:t xml:space="preserve"> aver riportato </w:t>
      </w:r>
      <w:r w:rsidR="008B6D43">
        <w:rPr>
          <w:rFonts w:ascii="Century" w:hAnsi="Century" w:cs="Arial"/>
          <w:sz w:val="24"/>
          <w:szCs w:val="24"/>
        </w:rPr>
        <w:t>sanzioni disciplinari definitive superiori all’avvertimento;</w:t>
      </w:r>
    </w:p>
    <w:p w:rsidR="008B6D43" w:rsidRDefault="008B6D43" w:rsidP="00892710">
      <w:pPr>
        <w:pStyle w:val="Paragrafoelenco"/>
        <w:numPr>
          <w:ilvl w:val="0"/>
          <w:numId w:val="3"/>
        </w:numPr>
        <w:jc w:val="both"/>
        <w:rPr>
          <w:rFonts w:ascii="Century" w:hAnsi="Century" w:cs="Arial"/>
          <w:sz w:val="24"/>
          <w:szCs w:val="24"/>
        </w:rPr>
      </w:pPr>
      <w:proofErr w:type="gramStart"/>
      <w:r>
        <w:rPr>
          <w:rFonts w:ascii="Century" w:hAnsi="Century" w:cs="Arial"/>
          <w:sz w:val="24"/>
          <w:szCs w:val="24"/>
        </w:rPr>
        <w:t>l’esercizio</w:t>
      </w:r>
      <w:proofErr w:type="gramEnd"/>
      <w:r>
        <w:rPr>
          <w:rFonts w:ascii="Century" w:hAnsi="Century" w:cs="Arial"/>
          <w:sz w:val="24"/>
          <w:szCs w:val="24"/>
        </w:rPr>
        <w:t xml:space="preserve"> continuativo di attività nel settore penale comprovato dalla produzione di documentazione attestante la partecipazione, nei dodici mesi precedenti, ad almeno 10 udienze penali, camerali o dibattimentali anche quale sostituto processuale e, tra queste, non più di due udienze quale sostituto ex art. 97 comma 4 c.p.p. e non più di tre innanzi al Giudice di pace, con esclusione di quelle di mero rinvio;</w:t>
      </w:r>
    </w:p>
    <w:p w:rsidR="008B6D43" w:rsidRDefault="008B6D43" w:rsidP="00892710">
      <w:pPr>
        <w:pStyle w:val="Paragrafoelenco"/>
        <w:numPr>
          <w:ilvl w:val="0"/>
          <w:numId w:val="3"/>
        </w:numPr>
        <w:jc w:val="both"/>
        <w:rPr>
          <w:rFonts w:ascii="Century" w:hAnsi="Century" w:cs="Arial"/>
          <w:sz w:val="24"/>
          <w:szCs w:val="24"/>
        </w:rPr>
      </w:pPr>
      <w:proofErr w:type="gramStart"/>
      <w:r>
        <w:rPr>
          <w:rFonts w:ascii="Century" w:hAnsi="Century" w:cs="Arial"/>
          <w:sz w:val="24"/>
          <w:szCs w:val="24"/>
        </w:rPr>
        <w:t>l’adempimento</w:t>
      </w:r>
      <w:proofErr w:type="gramEnd"/>
      <w:r>
        <w:rPr>
          <w:rFonts w:ascii="Century" w:hAnsi="Century" w:cs="Arial"/>
          <w:sz w:val="24"/>
          <w:szCs w:val="24"/>
        </w:rPr>
        <w:t xml:space="preserve"> dell’obbligo formativo di cui all’art. 11 della legge 31 dicembre 2012, n. 247.</w:t>
      </w:r>
    </w:p>
    <w:p w:rsidR="00920E67" w:rsidRDefault="00920E67" w:rsidP="00920E67">
      <w:pPr>
        <w:jc w:val="both"/>
        <w:rPr>
          <w:rFonts w:ascii="Century" w:hAnsi="Century" w:cs="Arial"/>
          <w:sz w:val="24"/>
          <w:szCs w:val="24"/>
        </w:rPr>
      </w:pPr>
      <w:r>
        <w:rPr>
          <w:rFonts w:ascii="Century" w:hAnsi="Century" w:cs="Arial"/>
          <w:sz w:val="24"/>
          <w:szCs w:val="24"/>
        </w:rPr>
        <w:t>In merito il Consiglio dell’Ordine riterrà idonea documentazione l’autocertificazione delle udienze svolte da ciascun richiedente con indicate le informazioni</w:t>
      </w:r>
      <w:r w:rsidR="00787330">
        <w:rPr>
          <w:rFonts w:ascii="Century" w:hAnsi="Century" w:cs="Arial"/>
          <w:sz w:val="24"/>
          <w:szCs w:val="24"/>
        </w:rPr>
        <w:t xml:space="preserve"> inerenti il procedimento penale (RGNR / REG. GIP / REG. </w:t>
      </w:r>
      <w:proofErr w:type="gramStart"/>
      <w:r w:rsidR="00787330">
        <w:rPr>
          <w:rFonts w:ascii="Century" w:hAnsi="Century" w:cs="Arial"/>
          <w:sz w:val="24"/>
          <w:szCs w:val="24"/>
        </w:rPr>
        <w:t>TRIB.</w:t>
      </w:r>
      <w:r>
        <w:rPr>
          <w:rFonts w:ascii="Century" w:hAnsi="Century" w:cs="Arial"/>
          <w:sz w:val="24"/>
          <w:szCs w:val="24"/>
        </w:rPr>
        <w:t>,</w:t>
      </w:r>
      <w:proofErr w:type="gramEnd"/>
      <w:r w:rsidR="00787330">
        <w:rPr>
          <w:rFonts w:ascii="Century" w:hAnsi="Century" w:cs="Arial"/>
          <w:sz w:val="24"/>
          <w:szCs w:val="24"/>
        </w:rPr>
        <w:t xml:space="preserve"> GIUDICE, UDIENZA, ATTIVITA’ PROCESSUALE )</w:t>
      </w:r>
      <w:r>
        <w:rPr>
          <w:rFonts w:ascii="Century" w:hAnsi="Century" w:cs="Arial"/>
          <w:sz w:val="24"/>
          <w:szCs w:val="24"/>
        </w:rPr>
        <w:t xml:space="preserve"> con riserva di eseguire verifiche, anche tramite l’acquisizione dei verbali d’udienza.</w:t>
      </w:r>
    </w:p>
    <w:p w:rsidR="00787330" w:rsidRDefault="00787330" w:rsidP="00920E67">
      <w:pPr>
        <w:jc w:val="both"/>
        <w:rPr>
          <w:rFonts w:ascii="Century" w:hAnsi="Century" w:cs="Arial"/>
          <w:sz w:val="24"/>
          <w:szCs w:val="24"/>
        </w:rPr>
      </w:pPr>
    </w:p>
    <w:p w:rsidR="00787330" w:rsidRDefault="00787330" w:rsidP="00920E67">
      <w:pPr>
        <w:jc w:val="both"/>
        <w:rPr>
          <w:rFonts w:ascii="Century" w:hAnsi="Century" w:cs="Arial"/>
          <w:sz w:val="24"/>
          <w:szCs w:val="24"/>
        </w:rPr>
      </w:pPr>
      <w:bookmarkStart w:id="0" w:name="_GoBack"/>
      <w:bookmarkEnd w:id="0"/>
    </w:p>
    <w:p w:rsidR="00A010F3" w:rsidRPr="00920E67" w:rsidRDefault="00A010F3" w:rsidP="00920E67">
      <w:pPr>
        <w:jc w:val="both"/>
        <w:rPr>
          <w:rFonts w:ascii="Century" w:hAnsi="Century" w:cs="Arial"/>
          <w:sz w:val="24"/>
          <w:szCs w:val="24"/>
        </w:rPr>
      </w:pPr>
      <w:r w:rsidRPr="00920E67">
        <w:rPr>
          <w:rFonts w:ascii="Century" w:hAnsi="Century" w:cs="Arial"/>
          <w:szCs w:val="24"/>
        </w:rPr>
        <w:lastRenderedPageBreak/>
        <w:tab/>
      </w:r>
    </w:p>
    <w:p w:rsidR="00A010F3" w:rsidRPr="00A010F3" w:rsidRDefault="00A010F3" w:rsidP="00A010F3">
      <w:pPr>
        <w:pStyle w:val="Titolo1"/>
        <w:ind w:left="0"/>
        <w:rPr>
          <w:rFonts w:ascii="Century" w:hAnsi="Century" w:cs="Arial"/>
          <w:szCs w:val="24"/>
        </w:rPr>
      </w:pPr>
    </w:p>
    <w:p w:rsidR="00A64FA8" w:rsidRPr="00A010F3" w:rsidRDefault="00A64FA8">
      <w:pPr>
        <w:rPr>
          <w:rFonts w:ascii="Century" w:hAnsi="Century"/>
        </w:rPr>
      </w:pPr>
    </w:p>
    <w:sectPr w:rsidR="00A64FA8" w:rsidRPr="00A010F3" w:rsidSect="00A010F3">
      <w:headerReference w:type="default" r:id="rId7"/>
      <w:footerReference w:type="default" r:id="rId8"/>
      <w:pgSz w:w="12240" w:h="15840"/>
      <w:pgMar w:top="709" w:right="1151" w:bottom="1151" w:left="115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CE6" w:rsidRDefault="00390CE6" w:rsidP="008A22FC">
      <w:r>
        <w:separator/>
      </w:r>
    </w:p>
  </w:endnote>
  <w:endnote w:type="continuationSeparator" w:id="0">
    <w:p w:rsidR="00390CE6" w:rsidRDefault="00390CE6" w:rsidP="008A2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04E" w:rsidRDefault="00713474">
    <w:pPr>
      <w:widowControl w:val="0"/>
      <w:tabs>
        <w:tab w:val="center" w:pos="4968"/>
        <w:tab w:val="right" w:pos="9936"/>
      </w:tabs>
      <w:rPr>
        <w:snapToGrid w:val="0"/>
        <w:sz w:val="24"/>
      </w:rPr>
    </w:pPr>
    <w:r w:rsidRPr="00A010F3">
      <w:rPr>
        <w:rFonts w:ascii="Georgia" w:hAnsi="Georgia"/>
        <w:snapToGrid w:val="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CE6" w:rsidRDefault="00390CE6" w:rsidP="008A22FC">
      <w:r>
        <w:separator/>
      </w:r>
    </w:p>
  </w:footnote>
  <w:footnote w:type="continuationSeparator" w:id="0">
    <w:p w:rsidR="00390CE6" w:rsidRDefault="00390CE6" w:rsidP="008A22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04E" w:rsidRDefault="003B6B1F">
    <w:pPr>
      <w:widowControl w:val="0"/>
      <w:tabs>
        <w:tab w:val="center" w:pos="4968"/>
        <w:tab w:val="right" w:pos="9936"/>
      </w:tabs>
      <w:rPr>
        <w:snapToGrid w:val="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620A8D"/>
    <w:multiLevelType w:val="hybridMultilevel"/>
    <w:tmpl w:val="440AAFAE"/>
    <w:lvl w:ilvl="0" w:tplc="EDCA18B6">
      <w:numFmt w:val="bullet"/>
      <w:lvlText w:val="-"/>
      <w:lvlJc w:val="left"/>
      <w:pPr>
        <w:ind w:left="720" w:hanging="360"/>
      </w:pPr>
      <w:rPr>
        <w:rFonts w:ascii="Century" w:eastAsia="Times New Roman" w:hAnsi="Century"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E317764"/>
    <w:multiLevelType w:val="hybridMultilevel"/>
    <w:tmpl w:val="FFA28E10"/>
    <w:lvl w:ilvl="0" w:tplc="3E246416">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65E0C6B"/>
    <w:multiLevelType w:val="hybridMultilevel"/>
    <w:tmpl w:val="000082A8"/>
    <w:lvl w:ilvl="0" w:tplc="3E246416">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0F3"/>
    <w:rsid w:val="000057F6"/>
    <w:rsid w:val="000119DF"/>
    <w:rsid w:val="00035741"/>
    <w:rsid w:val="00061BF0"/>
    <w:rsid w:val="000D007D"/>
    <w:rsid w:val="001644CA"/>
    <w:rsid w:val="0017130B"/>
    <w:rsid w:val="001B27F7"/>
    <w:rsid w:val="001B3B74"/>
    <w:rsid w:val="001D31FE"/>
    <w:rsid w:val="002665DB"/>
    <w:rsid w:val="002B0DFB"/>
    <w:rsid w:val="002B2940"/>
    <w:rsid w:val="0032226C"/>
    <w:rsid w:val="00360DF0"/>
    <w:rsid w:val="00390CE6"/>
    <w:rsid w:val="003A31AD"/>
    <w:rsid w:val="003A74A3"/>
    <w:rsid w:val="003C080E"/>
    <w:rsid w:val="00410E87"/>
    <w:rsid w:val="00426C71"/>
    <w:rsid w:val="0047536D"/>
    <w:rsid w:val="00496029"/>
    <w:rsid w:val="004E1454"/>
    <w:rsid w:val="00515909"/>
    <w:rsid w:val="00552F2E"/>
    <w:rsid w:val="005C136E"/>
    <w:rsid w:val="005D0F06"/>
    <w:rsid w:val="0062128E"/>
    <w:rsid w:val="006270C8"/>
    <w:rsid w:val="006740F1"/>
    <w:rsid w:val="0068363C"/>
    <w:rsid w:val="006D00A2"/>
    <w:rsid w:val="006F10C7"/>
    <w:rsid w:val="006F4A93"/>
    <w:rsid w:val="00713474"/>
    <w:rsid w:val="00731846"/>
    <w:rsid w:val="0074137B"/>
    <w:rsid w:val="00784CBB"/>
    <w:rsid w:val="00787330"/>
    <w:rsid w:val="007A5DEC"/>
    <w:rsid w:val="007D742B"/>
    <w:rsid w:val="00892710"/>
    <w:rsid w:val="008A22FC"/>
    <w:rsid w:val="008B6D43"/>
    <w:rsid w:val="008D0A26"/>
    <w:rsid w:val="009030E6"/>
    <w:rsid w:val="00915823"/>
    <w:rsid w:val="00920E67"/>
    <w:rsid w:val="00966FB5"/>
    <w:rsid w:val="009F3FC3"/>
    <w:rsid w:val="00A010F3"/>
    <w:rsid w:val="00A40134"/>
    <w:rsid w:val="00A419CF"/>
    <w:rsid w:val="00A45713"/>
    <w:rsid w:val="00A52300"/>
    <w:rsid w:val="00A64FA8"/>
    <w:rsid w:val="00A82285"/>
    <w:rsid w:val="00A946C4"/>
    <w:rsid w:val="00AF0685"/>
    <w:rsid w:val="00B0134B"/>
    <w:rsid w:val="00B3360A"/>
    <w:rsid w:val="00B466D4"/>
    <w:rsid w:val="00B71C27"/>
    <w:rsid w:val="00BB011A"/>
    <w:rsid w:val="00C36B19"/>
    <w:rsid w:val="00C4082A"/>
    <w:rsid w:val="00C572DA"/>
    <w:rsid w:val="00C9227A"/>
    <w:rsid w:val="00D00F9F"/>
    <w:rsid w:val="00D224A5"/>
    <w:rsid w:val="00D91E0C"/>
    <w:rsid w:val="00DB3E3E"/>
    <w:rsid w:val="00DC3A34"/>
    <w:rsid w:val="00DF1E5A"/>
    <w:rsid w:val="00E650E5"/>
    <w:rsid w:val="00E93F92"/>
    <w:rsid w:val="00EB5A7E"/>
    <w:rsid w:val="00ED4BDE"/>
    <w:rsid w:val="00EF0967"/>
    <w:rsid w:val="00F40B3C"/>
    <w:rsid w:val="00F9447B"/>
    <w:rsid w:val="00FC081E"/>
    <w:rsid w:val="00FC30BA"/>
    <w:rsid w:val="00FC73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A40CCA-6CD8-427E-B3A2-1F5EC04C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010F3"/>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A010F3"/>
    <w:pPr>
      <w:keepNext/>
      <w:widowControl w:val="0"/>
      <w:tabs>
        <w:tab w:val="left" w:pos="964"/>
      </w:tabs>
      <w:ind w:left="5670"/>
      <w:jc w:val="both"/>
      <w:outlineLvl w:val="0"/>
    </w:pPr>
    <w:rPr>
      <w:rFonts w:ascii="Arial" w:hAnsi="Arial"/>
      <w:snapToGrid w:val="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A010F3"/>
    <w:rPr>
      <w:rFonts w:ascii="Arial" w:eastAsia="Times New Roman" w:hAnsi="Arial" w:cs="Times New Roman"/>
      <w:snapToGrid w:val="0"/>
      <w:sz w:val="24"/>
      <w:szCs w:val="20"/>
      <w:lang w:eastAsia="it-IT"/>
    </w:rPr>
  </w:style>
  <w:style w:type="paragraph" w:styleId="Corpotesto">
    <w:name w:val="Body Text"/>
    <w:basedOn w:val="Normale"/>
    <w:link w:val="CorpotestoCarattere"/>
    <w:semiHidden/>
    <w:rsid w:val="00A010F3"/>
    <w:pPr>
      <w:widowControl w:val="0"/>
      <w:tabs>
        <w:tab w:val="left" w:pos="964"/>
      </w:tabs>
      <w:jc w:val="both"/>
    </w:pPr>
    <w:rPr>
      <w:rFonts w:ascii="Arial" w:hAnsi="Arial"/>
      <w:bCs/>
      <w:snapToGrid w:val="0"/>
      <w:sz w:val="24"/>
    </w:rPr>
  </w:style>
  <w:style w:type="character" w:customStyle="1" w:styleId="CorpotestoCarattere">
    <w:name w:val="Corpo testo Carattere"/>
    <w:basedOn w:val="Carpredefinitoparagrafo"/>
    <w:link w:val="Corpotesto"/>
    <w:semiHidden/>
    <w:rsid w:val="00A010F3"/>
    <w:rPr>
      <w:rFonts w:ascii="Arial" w:eastAsia="Times New Roman" w:hAnsi="Arial" w:cs="Times New Roman"/>
      <w:bCs/>
      <w:snapToGrid w:val="0"/>
      <w:sz w:val="24"/>
      <w:szCs w:val="20"/>
      <w:lang w:eastAsia="it-IT"/>
    </w:rPr>
  </w:style>
  <w:style w:type="paragraph" w:styleId="Paragrafoelenco">
    <w:name w:val="List Paragraph"/>
    <w:basedOn w:val="Normale"/>
    <w:uiPriority w:val="34"/>
    <w:qFormat/>
    <w:rsid w:val="00A010F3"/>
    <w:pPr>
      <w:spacing w:after="200" w:line="276" w:lineRule="auto"/>
      <w:ind w:left="720"/>
      <w:contextualSpacing/>
    </w:pPr>
    <w:rPr>
      <w:rFonts w:ascii="Calibri" w:eastAsia="Calibri" w:hAnsi="Calibri"/>
      <w:sz w:val="22"/>
      <w:szCs w:val="22"/>
      <w:lang w:eastAsia="en-US"/>
    </w:rPr>
  </w:style>
  <w:style w:type="paragraph" w:styleId="Titolo">
    <w:name w:val="Title"/>
    <w:basedOn w:val="Normale"/>
    <w:link w:val="TitoloCarattere"/>
    <w:qFormat/>
    <w:rsid w:val="00A010F3"/>
    <w:pPr>
      <w:widowControl w:val="0"/>
      <w:tabs>
        <w:tab w:val="left" w:pos="964"/>
      </w:tabs>
      <w:jc w:val="center"/>
    </w:pPr>
    <w:rPr>
      <w:rFonts w:ascii="Georgia" w:hAnsi="Georgia" w:cs="Arial"/>
      <w:bCs/>
      <w:i/>
      <w:iCs/>
      <w:snapToGrid w:val="0"/>
      <w:sz w:val="28"/>
    </w:rPr>
  </w:style>
  <w:style w:type="character" w:customStyle="1" w:styleId="TitoloCarattere">
    <w:name w:val="Titolo Carattere"/>
    <w:basedOn w:val="Carpredefinitoparagrafo"/>
    <w:link w:val="Titolo"/>
    <w:rsid w:val="00A010F3"/>
    <w:rPr>
      <w:rFonts w:ascii="Georgia" w:eastAsia="Times New Roman" w:hAnsi="Georgia" w:cs="Arial"/>
      <w:bCs/>
      <w:i/>
      <w:iCs/>
      <w:snapToGrid w:val="0"/>
      <w:sz w:val="28"/>
      <w:szCs w:val="20"/>
      <w:lang w:eastAsia="it-IT"/>
    </w:rPr>
  </w:style>
  <w:style w:type="paragraph" w:styleId="Testofumetto">
    <w:name w:val="Balloon Text"/>
    <w:basedOn w:val="Normale"/>
    <w:link w:val="TestofumettoCarattere"/>
    <w:uiPriority w:val="99"/>
    <w:semiHidden/>
    <w:unhideWhenUsed/>
    <w:rsid w:val="00A010F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10F3"/>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74137B"/>
    <w:pPr>
      <w:tabs>
        <w:tab w:val="center" w:pos="4819"/>
        <w:tab w:val="right" w:pos="9638"/>
      </w:tabs>
    </w:pPr>
  </w:style>
  <w:style w:type="character" w:customStyle="1" w:styleId="IntestazioneCarattere">
    <w:name w:val="Intestazione Carattere"/>
    <w:basedOn w:val="Carpredefinitoparagrafo"/>
    <w:link w:val="Intestazione"/>
    <w:uiPriority w:val="99"/>
    <w:rsid w:val="0074137B"/>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74137B"/>
    <w:pPr>
      <w:tabs>
        <w:tab w:val="center" w:pos="4819"/>
        <w:tab w:val="right" w:pos="9638"/>
      </w:tabs>
    </w:pPr>
  </w:style>
  <w:style w:type="character" w:customStyle="1" w:styleId="PidipaginaCarattere">
    <w:name w:val="Piè di pagina Carattere"/>
    <w:basedOn w:val="Carpredefinitoparagrafo"/>
    <w:link w:val="Pidipagina"/>
    <w:uiPriority w:val="99"/>
    <w:rsid w:val="0074137B"/>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Donato Pingaro</dc:creator>
  <cp:lastModifiedBy>Roberta</cp:lastModifiedBy>
  <cp:revision>2</cp:revision>
  <cp:lastPrinted>2016-05-18T07:58:00Z</cp:lastPrinted>
  <dcterms:created xsi:type="dcterms:W3CDTF">2016-05-18T07:59:00Z</dcterms:created>
  <dcterms:modified xsi:type="dcterms:W3CDTF">2016-05-18T07:59:00Z</dcterms:modified>
</cp:coreProperties>
</file>